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17BD" w14:textId="36C9A9A7" w:rsidR="00354571" w:rsidRPr="00C23CF0" w:rsidRDefault="00821CA5" w:rsidP="00354571">
      <w:pPr>
        <w:pStyle w:val="FormtovanvHTML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Prohlášení statutárního orgánu</w:t>
      </w:r>
    </w:p>
    <w:p w14:paraId="1199DC4B" w14:textId="77777777" w:rsidR="00821CA5" w:rsidRDefault="00821CA5" w:rsidP="00354571">
      <w:pPr>
        <w:pStyle w:val="FormtovanvHTML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F688E4" w14:textId="1415E0CE" w:rsidR="00354571" w:rsidRPr="00C23CF0" w:rsidRDefault="00821CA5" w:rsidP="00821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Představenstvo společnosti </w:t>
      </w:r>
      <w:r w:rsidR="00354571" w:rsidRPr="00C23CF0">
        <w:rPr>
          <w:rFonts w:ascii="Calibri" w:hAnsi="Calibri" w:cs="Calibri"/>
          <w:b/>
          <w:sz w:val="22"/>
          <w:szCs w:val="22"/>
          <w:shd w:val="clear" w:color="auto" w:fill="FFFFFF"/>
        </w:rPr>
        <w:t>Alpine Capital Investment a.s.</w:t>
      </w:r>
      <w:r w:rsidR="00354571" w:rsidRPr="00C23CF0">
        <w:rPr>
          <w:rFonts w:ascii="Calibri" w:hAnsi="Calibri" w:cs="Calibri"/>
          <w:sz w:val="22"/>
          <w:szCs w:val="22"/>
        </w:rPr>
        <w:t xml:space="preserve">, se sídlem Belgická 115/40, Vinohrady, 120 00 Praha 2, IČO: </w:t>
      </w:r>
      <w:r w:rsidR="00354571" w:rsidRPr="00C23CF0">
        <w:rPr>
          <w:rFonts w:ascii="Calibri" w:hAnsi="Calibri" w:cs="Calibri"/>
          <w:sz w:val="22"/>
          <w:szCs w:val="22"/>
          <w:shd w:val="clear" w:color="auto" w:fill="FFFFFF"/>
        </w:rPr>
        <w:t>09929029,</w:t>
      </w:r>
      <w:r w:rsidR="00354571" w:rsidRPr="00C23CF0">
        <w:rPr>
          <w:rFonts w:ascii="Calibri" w:hAnsi="Calibri" w:cs="Calibri"/>
          <w:sz w:val="22"/>
          <w:szCs w:val="22"/>
        </w:rPr>
        <w:t xml:space="preserve"> zapsaná v obchodním rejstříku vedeném </w:t>
      </w:r>
      <w:r w:rsidR="00354571" w:rsidRPr="00C23CF0">
        <w:rPr>
          <w:rFonts w:ascii="Calibri" w:hAnsi="Calibri" w:cs="Calibri"/>
          <w:bCs/>
          <w:snapToGrid w:val="0"/>
          <w:sz w:val="22"/>
          <w:szCs w:val="22"/>
        </w:rPr>
        <w:t>Městským soudem v Praze</w:t>
      </w:r>
      <w:r w:rsidR="00354571" w:rsidRPr="00C23CF0">
        <w:rPr>
          <w:rFonts w:ascii="Calibri" w:hAnsi="Calibri" w:cs="Calibri"/>
          <w:sz w:val="22"/>
          <w:szCs w:val="22"/>
        </w:rPr>
        <w:t>, sp. značka B 26098</w:t>
      </w:r>
      <w:r w:rsidR="00354571" w:rsidRPr="00C23CF0">
        <w:rPr>
          <w:rStyle w:val="Siln"/>
          <w:rFonts w:ascii="Calibri" w:hAnsi="Calibri" w:cs="Calibri"/>
          <w:sz w:val="22"/>
          <w:szCs w:val="22"/>
        </w:rPr>
        <w:t xml:space="preserve"> </w:t>
      </w:r>
      <w:r w:rsidR="00354571" w:rsidRPr="00C23CF0">
        <w:rPr>
          <w:rFonts w:ascii="Calibri" w:hAnsi="Calibri" w:cs="Calibri"/>
          <w:color w:val="000000"/>
          <w:sz w:val="22"/>
          <w:szCs w:val="22"/>
        </w:rPr>
        <w:t>(dále jen „</w:t>
      </w:r>
      <w:r w:rsidR="00354571" w:rsidRPr="00C23CF0">
        <w:rPr>
          <w:rFonts w:ascii="Calibri" w:hAnsi="Calibri" w:cs="Calibri"/>
          <w:b/>
          <w:color w:val="000000"/>
          <w:sz w:val="22"/>
          <w:szCs w:val="22"/>
        </w:rPr>
        <w:t>Nástupnická společnost</w:t>
      </w:r>
      <w:r w:rsidR="00354571" w:rsidRPr="00C23CF0">
        <w:rPr>
          <w:rFonts w:ascii="Calibri" w:hAnsi="Calibri" w:cs="Calibri"/>
          <w:color w:val="000000"/>
          <w:sz w:val="22"/>
          <w:szCs w:val="22"/>
        </w:rPr>
        <w:t>“)</w:t>
      </w:r>
      <w:r>
        <w:rPr>
          <w:rFonts w:ascii="Calibri" w:hAnsi="Calibri" w:cs="Calibri"/>
          <w:color w:val="000000"/>
          <w:sz w:val="22"/>
          <w:szCs w:val="22"/>
        </w:rPr>
        <w:t xml:space="preserve"> tímto </w:t>
      </w:r>
      <w:r w:rsidRPr="00C23CF0">
        <w:rPr>
          <w:rFonts w:ascii="Calibri" w:hAnsi="Calibri" w:cs="Calibri"/>
          <w:color w:val="000000"/>
          <w:sz w:val="22"/>
          <w:szCs w:val="22"/>
        </w:rPr>
        <w:t xml:space="preserve">v souladu s § 59l </w:t>
      </w:r>
      <w:r>
        <w:rPr>
          <w:rFonts w:ascii="Calibri" w:hAnsi="Calibri" w:cs="Calibri"/>
          <w:color w:val="000000"/>
          <w:sz w:val="22"/>
          <w:szCs w:val="22"/>
        </w:rPr>
        <w:t xml:space="preserve">písm. b) </w:t>
      </w:r>
      <w:r w:rsidRPr="00C23CF0">
        <w:rPr>
          <w:rFonts w:ascii="Calibri" w:hAnsi="Calibri" w:cs="Calibri"/>
          <w:color w:val="000000"/>
          <w:sz w:val="22"/>
          <w:szCs w:val="22"/>
        </w:rPr>
        <w:t xml:space="preserve">zákona č. 125/2008 Sb., o přeměnách obchodních společností a družstev, v platném znění (dále jen „zákon o přeměnách“), </w:t>
      </w:r>
      <w:r>
        <w:rPr>
          <w:rFonts w:ascii="Calibri" w:hAnsi="Calibri" w:cs="Calibri"/>
          <w:color w:val="000000"/>
          <w:sz w:val="22"/>
          <w:szCs w:val="22"/>
        </w:rPr>
        <w:t xml:space="preserve">činí následující prohlášení. </w:t>
      </w:r>
    </w:p>
    <w:p w14:paraId="09EE506C" w14:textId="77777777" w:rsidR="00354571" w:rsidRDefault="00354571" w:rsidP="00354571">
      <w:pPr>
        <w:pStyle w:val="FormtovanvHTML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8FFE8D" w14:textId="4BE65127" w:rsidR="00354571" w:rsidRPr="00C23CF0" w:rsidRDefault="00354571" w:rsidP="00354571">
      <w:pPr>
        <w:pStyle w:val="FormtovanvHTML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23CF0">
        <w:rPr>
          <w:rFonts w:ascii="Calibri" w:hAnsi="Calibri" w:cs="Calibri"/>
          <w:bCs/>
          <w:color w:val="000000"/>
          <w:sz w:val="22"/>
          <w:szCs w:val="22"/>
        </w:rPr>
        <w:t>Nástupnická společnost (</w:t>
      </w:r>
      <w:r w:rsidRPr="00C23CF0">
        <w:rPr>
          <w:rFonts w:ascii="Calibri" w:hAnsi="Calibri" w:cs="Calibri"/>
          <w:bCs/>
          <w:i/>
          <w:iCs/>
          <w:color w:val="000000"/>
          <w:sz w:val="22"/>
          <w:szCs w:val="22"/>
        </w:rPr>
        <w:t>akciová společnost založená dle českého práva</w:t>
      </w:r>
      <w:r w:rsidRPr="00C23CF0">
        <w:rPr>
          <w:rFonts w:ascii="Calibri" w:hAnsi="Calibri" w:cs="Calibri"/>
          <w:bCs/>
          <w:color w:val="000000"/>
          <w:sz w:val="22"/>
          <w:szCs w:val="22"/>
        </w:rPr>
        <w:t>) je osob</w:t>
      </w:r>
      <w:r w:rsidR="00327860">
        <w:rPr>
          <w:rFonts w:ascii="Calibri" w:hAnsi="Calibri" w:cs="Calibri"/>
          <w:bCs/>
          <w:color w:val="000000"/>
          <w:sz w:val="22"/>
          <w:szCs w:val="22"/>
        </w:rPr>
        <w:t>o</w:t>
      </w:r>
      <w:r w:rsidRPr="00C23CF0">
        <w:rPr>
          <w:rFonts w:ascii="Calibri" w:hAnsi="Calibri" w:cs="Calibri"/>
          <w:bCs/>
          <w:color w:val="000000"/>
          <w:sz w:val="22"/>
          <w:szCs w:val="22"/>
        </w:rPr>
        <w:t xml:space="preserve">u zúčastněnou na přeměně, a to přeshraniční fúze sloučením, kdy druhou zúčastněnou společností je společnost </w:t>
      </w:r>
      <w:r w:rsidRPr="00C23CF0">
        <w:rPr>
          <w:rFonts w:ascii="Calibri" w:hAnsi="Calibri" w:cs="Calibri"/>
          <w:b/>
          <w:sz w:val="22"/>
          <w:szCs w:val="22"/>
        </w:rPr>
        <w:t>Alpine</w:t>
      </w:r>
      <w:r w:rsidRPr="00C23CF0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C23CF0">
        <w:rPr>
          <w:rFonts w:ascii="Calibri" w:hAnsi="Calibri" w:cs="Calibri"/>
          <w:b/>
          <w:sz w:val="22"/>
          <w:szCs w:val="22"/>
        </w:rPr>
        <w:t>Capital</w:t>
      </w:r>
      <w:r w:rsidRPr="00C23CF0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23CF0">
        <w:rPr>
          <w:rFonts w:ascii="Calibri" w:hAnsi="Calibri" w:cs="Calibri"/>
          <w:b/>
          <w:sz w:val="22"/>
          <w:szCs w:val="22"/>
        </w:rPr>
        <w:t>Italy</w:t>
      </w:r>
      <w:r w:rsidRPr="00C23CF0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C23CF0">
        <w:rPr>
          <w:rFonts w:ascii="Calibri" w:hAnsi="Calibri" w:cs="Calibri"/>
          <w:b/>
          <w:spacing w:val="-2"/>
          <w:sz w:val="22"/>
          <w:szCs w:val="22"/>
        </w:rPr>
        <w:t>S.r.l.</w:t>
      </w:r>
      <w:r w:rsidRPr="00C23CF0">
        <w:rPr>
          <w:rFonts w:ascii="Calibri" w:hAnsi="Calibri" w:cs="Calibri"/>
          <w:sz w:val="22"/>
          <w:szCs w:val="22"/>
        </w:rPr>
        <w:t xml:space="preserve">, společnost s ručením omezeným založená podle práva Italské republiky </w:t>
      </w:r>
      <w:r w:rsidRPr="00C23CF0">
        <w:rPr>
          <w:rFonts w:ascii="Calibri" w:hAnsi="Calibri" w:cs="Calibri"/>
          <w:i/>
          <w:sz w:val="22"/>
          <w:szCs w:val="22"/>
        </w:rPr>
        <w:t>(Società a responsabilità limitata - S.r.l</w:t>
      </w:r>
      <w:r w:rsidRPr="00C23CF0">
        <w:rPr>
          <w:rFonts w:ascii="Calibri" w:hAnsi="Calibri" w:cs="Calibri"/>
          <w:sz w:val="22"/>
          <w:szCs w:val="22"/>
        </w:rPr>
        <w:t xml:space="preserve">.) se sídlem v Miláně, Via Enrico Tazzoli 11, Itálie, zapsaná v řádném oddíle obchodního rejstříku Milán Monza Brianza Lodi pod číslem </w:t>
      </w:r>
      <w:r w:rsidRPr="00C23CF0">
        <w:rPr>
          <w:rFonts w:ascii="Calibri" w:hAnsi="Calibri" w:cs="Calibri"/>
          <w:spacing w:val="-2"/>
          <w:sz w:val="22"/>
          <w:szCs w:val="22"/>
        </w:rPr>
        <w:t>12627230969</w:t>
      </w:r>
      <w:r w:rsidRPr="00C23CF0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C23CF0">
        <w:rPr>
          <w:rFonts w:ascii="Calibri" w:hAnsi="Calibri" w:cs="Calibri"/>
          <w:color w:val="000000"/>
          <w:sz w:val="22"/>
          <w:szCs w:val="22"/>
        </w:rPr>
        <w:t>(dále jen „</w:t>
      </w:r>
      <w:r w:rsidRPr="00C23CF0">
        <w:rPr>
          <w:rFonts w:ascii="Calibri" w:hAnsi="Calibri" w:cs="Calibri"/>
          <w:b/>
          <w:color w:val="000000"/>
          <w:sz w:val="22"/>
          <w:szCs w:val="22"/>
        </w:rPr>
        <w:t>Zanikající společnost</w:t>
      </w:r>
      <w:r w:rsidRPr="00C23CF0">
        <w:rPr>
          <w:rFonts w:ascii="Calibri" w:hAnsi="Calibri" w:cs="Calibri"/>
          <w:color w:val="000000"/>
          <w:sz w:val="22"/>
          <w:szCs w:val="22"/>
        </w:rPr>
        <w:t>“)</w:t>
      </w:r>
      <w:r w:rsidRPr="00C23CF0">
        <w:rPr>
          <w:rFonts w:ascii="Calibri" w:hAnsi="Calibri" w:cs="Calibri"/>
          <w:bCs/>
          <w:color w:val="000000"/>
          <w:sz w:val="22"/>
          <w:szCs w:val="22"/>
        </w:rPr>
        <w:t>, která se přeměny účastní jako společnost zanikající. V rámci přeshraniční fúze sloučením Zanikající společnost zanikne a její jmění přejde na Nástupnickou společnost.</w:t>
      </w:r>
    </w:p>
    <w:p w14:paraId="2D252D5B" w14:textId="77777777" w:rsidR="00354571" w:rsidRPr="00C23CF0" w:rsidRDefault="00354571" w:rsidP="00354571">
      <w:pPr>
        <w:pStyle w:val="FormtovanvHTML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649D680" w14:textId="77777777" w:rsidR="00354571" w:rsidRPr="00C23CF0" w:rsidRDefault="00354571" w:rsidP="00354571">
      <w:pPr>
        <w:pStyle w:val="FormtovanvHTML"/>
        <w:jc w:val="both"/>
        <w:rPr>
          <w:rFonts w:ascii="Calibri" w:hAnsi="Calibri" w:cs="Calibri"/>
          <w:color w:val="000000"/>
          <w:sz w:val="22"/>
          <w:szCs w:val="22"/>
        </w:rPr>
      </w:pPr>
      <w:r w:rsidRPr="00C23CF0">
        <w:rPr>
          <w:rFonts w:ascii="Calibri" w:hAnsi="Calibri" w:cs="Calibri"/>
          <w:bCs/>
          <w:sz w:val="22"/>
          <w:szCs w:val="22"/>
        </w:rPr>
        <w:t xml:space="preserve">Zanikající a Nástupnická společnost, </w:t>
      </w:r>
      <w:r w:rsidRPr="00C23CF0">
        <w:rPr>
          <w:rFonts w:ascii="Calibri" w:hAnsi="Calibri" w:cs="Calibri"/>
          <w:sz w:val="22"/>
          <w:szCs w:val="22"/>
        </w:rPr>
        <w:t>jako osoby zúčastněné na přeshraniční přeměně, jsou dále v textu společně označovány také jako „</w:t>
      </w:r>
      <w:r w:rsidRPr="00C23CF0">
        <w:rPr>
          <w:rFonts w:ascii="Calibri" w:hAnsi="Calibri" w:cs="Calibri"/>
          <w:b/>
          <w:sz w:val="22"/>
          <w:szCs w:val="22"/>
        </w:rPr>
        <w:t>Zúčastněné společnosti</w:t>
      </w:r>
      <w:r w:rsidRPr="00C23CF0">
        <w:rPr>
          <w:rFonts w:ascii="Calibri" w:hAnsi="Calibri" w:cs="Calibri"/>
          <w:sz w:val="22"/>
          <w:szCs w:val="22"/>
        </w:rPr>
        <w:t>“).</w:t>
      </w:r>
    </w:p>
    <w:p w14:paraId="59B6A931" w14:textId="77777777" w:rsidR="00354571" w:rsidRPr="00C23CF0" w:rsidRDefault="00354571" w:rsidP="00354571">
      <w:pPr>
        <w:pStyle w:val="FormtovanvHTML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79BE81" w14:textId="4FD13079" w:rsidR="002B6AB3" w:rsidRDefault="002B6AB3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354571" w:rsidRPr="00C23CF0">
        <w:rPr>
          <w:rFonts w:ascii="Calibri" w:hAnsi="Calibri" w:cs="Calibri"/>
          <w:b/>
          <w:bCs/>
          <w:color w:val="000000"/>
          <w:sz w:val="22"/>
          <w:szCs w:val="22"/>
        </w:rPr>
        <w:t>inanční situac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354571" w:rsidRPr="00C23CF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Nástupnické společnosti, jakožto </w:t>
      </w:r>
      <w:r w:rsidR="00354571" w:rsidRPr="00C23CF0">
        <w:rPr>
          <w:rFonts w:ascii="Calibri" w:hAnsi="Calibri" w:cs="Calibri"/>
          <w:b/>
          <w:bCs/>
          <w:color w:val="000000"/>
          <w:sz w:val="22"/>
          <w:szCs w:val="22"/>
        </w:rPr>
        <w:t>české osoby zúčastněné na přeshraniční přeměně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354571" w:rsidRPr="00C23CF0">
        <w:rPr>
          <w:rFonts w:ascii="Calibri" w:hAnsi="Calibri" w:cs="Calibri"/>
          <w:b/>
          <w:bCs/>
          <w:color w:val="000000"/>
          <w:sz w:val="22"/>
          <w:szCs w:val="22"/>
        </w:rPr>
        <w:t xml:space="preserve"> ke dni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B1D8D">
        <w:rPr>
          <w:rFonts w:ascii="Calibri" w:hAnsi="Calibri" w:cs="Calibri"/>
          <w:b/>
          <w:bCs/>
          <w:color w:val="000000"/>
          <w:sz w:val="22"/>
          <w:szCs w:val="22"/>
        </w:rPr>
        <w:t>30.9.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2024</w:t>
      </w:r>
      <w:r w:rsidR="00354571" w:rsidRPr="00C23CF0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tedy ke dni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 xml:space="preserve">, který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ne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>předcház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í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 xml:space="preserve"> 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>n uložení listin podle </w:t>
      </w:r>
      <w:hyperlink r:id="rId5" w:anchor="L162" w:history="1">
        <w:r w:rsidRPr="002B6AB3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§ 33</w:t>
        </w:r>
      </w:hyperlink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zákona o přeměnách 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>o více než 1 měsíc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je následující: </w:t>
      </w:r>
    </w:p>
    <w:p w14:paraId="1AE37132" w14:textId="014E1449" w:rsidR="002B6AB3" w:rsidRPr="007049D4" w:rsidRDefault="002B6AB3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72D890B" w14:textId="77777777" w:rsidR="007049D4" w:rsidRPr="00755088" w:rsidRDefault="007049D4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755088">
        <w:rPr>
          <w:rFonts w:ascii="Calibri" w:hAnsi="Calibri" w:cs="Calibri"/>
          <w:b/>
          <w:bCs/>
          <w:sz w:val="22"/>
          <w:szCs w:val="22"/>
        </w:rPr>
        <w:t>Aktiva</w:t>
      </w:r>
    </w:p>
    <w:p w14:paraId="799DAD4A" w14:textId="7E0098E0" w:rsidR="00755088" w:rsidRPr="00755088" w:rsidRDefault="00755088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22"/>
          <w:szCs w:val="22"/>
        </w:rPr>
      </w:pPr>
      <w:r w:rsidRPr="00755088">
        <w:rPr>
          <w:rFonts w:ascii="Calibri" w:hAnsi="Calibri" w:cs="Calibri"/>
          <w:sz w:val="22"/>
          <w:szCs w:val="22"/>
        </w:rPr>
        <w:t>Podíly v </w:t>
      </w:r>
      <w:r w:rsidR="00FB1D8D" w:rsidRPr="00755088">
        <w:rPr>
          <w:rFonts w:ascii="Calibri" w:hAnsi="Calibri" w:cs="Calibri"/>
          <w:sz w:val="22"/>
          <w:szCs w:val="22"/>
        </w:rPr>
        <w:t>ovládané</w:t>
      </w:r>
      <w:r w:rsidRPr="00755088">
        <w:rPr>
          <w:rFonts w:ascii="Calibri" w:hAnsi="Calibri" w:cs="Calibri"/>
          <w:sz w:val="22"/>
          <w:szCs w:val="22"/>
        </w:rPr>
        <w:t xml:space="preserve"> osobě</w:t>
      </w:r>
      <w:r w:rsidR="001B6881">
        <w:rPr>
          <w:rFonts w:ascii="Calibri" w:hAnsi="Calibri" w:cs="Calibri"/>
          <w:sz w:val="22"/>
          <w:szCs w:val="22"/>
        </w:rPr>
        <w:tab/>
      </w:r>
      <w:r w:rsidR="001B6881">
        <w:rPr>
          <w:rFonts w:ascii="Calibri" w:hAnsi="Calibri" w:cs="Calibri"/>
          <w:sz w:val="22"/>
          <w:szCs w:val="22"/>
        </w:rPr>
        <w:tab/>
      </w:r>
      <w:r w:rsidR="001B6881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  <w:t>12.375.324,26 Kč</w:t>
      </w:r>
    </w:p>
    <w:p w14:paraId="2A9C8309" w14:textId="2C51385B" w:rsidR="00755088" w:rsidRPr="00755088" w:rsidRDefault="00755088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22"/>
          <w:szCs w:val="22"/>
        </w:rPr>
      </w:pPr>
      <w:r w:rsidRPr="00755088">
        <w:rPr>
          <w:rFonts w:ascii="Calibri" w:hAnsi="Calibri" w:cs="Calibri"/>
          <w:sz w:val="22"/>
          <w:szCs w:val="22"/>
        </w:rPr>
        <w:t xml:space="preserve">Zápůjčky a úvěry </w:t>
      </w:r>
      <w:r w:rsidR="00FB1D8D" w:rsidRPr="00755088">
        <w:rPr>
          <w:rFonts w:ascii="Calibri" w:hAnsi="Calibri" w:cs="Calibri"/>
          <w:sz w:val="22"/>
          <w:szCs w:val="22"/>
        </w:rPr>
        <w:t>ovládané</w:t>
      </w:r>
      <w:r w:rsidRPr="00755088">
        <w:rPr>
          <w:rFonts w:ascii="Calibri" w:hAnsi="Calibri" w:cs="Calibri"/>
          <w:sz w:val="22"/>
          <w:szCs w:val="22"/>
        </w:rPr>
        <w:t xml:space="preserve"> a ovládající osoby</w:t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  <w:t xml:space="preserve">                203.934.600,00 Kč</w:t>
      </w:r>
    </w:p>
    <w:p w14:paraId="4145CB36" w14:textId="6CCF43DA" w:rsidR="00755088" w:rsidRPr="00755088" w:rsidRDefault="00755088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22"/>
          <w:szCs w:val="22"/>
        </w:rPr>
      </w:pPr>
      <w:r w:rsidRPr="00755088">
        <w:rPr>
          <w:rFonts w:ascii="Calibri" w:hAnsi="Calibri" w:cs="Calibri"/>
          <w:sz w:val="22"/>
          <w:szCs w:val="22"/>
        </w:rPr>
        <w:t>Bankovní účty v CZK a EUR</w:t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  <w:t>50.135.154,92 Kč</w:t>
      </w:r>
    </w:p>
    <w:p w14:paraId="302E4CE9" w14:textId="42EBD7BF" w:rsidR="00755088" w:rsidRPr="00755088" w:rsidRDefault="00755088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sz w:val="22"/>
          <w:szCs w:val="22"/>
        </w:rPr>
      </w:pPr>
      <w:r w:rsidRPr="00755088">
        <w:rPr>
          <w:rFonts w:ascii="Calibri" w:hAnsi="Calibri" w:cs="Calibri"/>
          <w:sz w:val="22"/>
          <w:szCs w:val="22"/>
        </w:rPr>
        <w:t>Osta</w:t>
      </w:r>
      <w:r w:rsidR="00FB1D8D">
        <w:rPr>
          <w:rFonts w:ascii="Calibri" w:hAnsi="Calibri" w:cs="Calibri"/>
          <w:sz w:val="22"/>
          <w:szCs w:val="22"/>
        </w:rPr>
        <w:t>t</w:t>
      </w:r>
      <w:r w:rsidRPr="00755088">
        <w:rPr>
          <w:rFonts w:ascii="Calibri" w:hAnsi="Calibri" w:cs="Calibri"/>
          <w:sz w:val="22"/>
          <w:szCs w:val="22"/>
        </w:rPr>
        <w:t>ní pohledávky</w:t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r w:rsidRPr="00755088">
        <w:rPr>
          <w:rFonts w:ascii="Calibri" w:hAnsi="Calibri" w:cs="Calibri"/>
          <w:sz w:val="22"/>
          <w:szCs w:val="22"/>
        </w:rPr>
        <w:tab/>
      </w:r>
      <w:proofErr w:type="gramStart"/>
      <w:r w:rsidRPr="00755088">
        <w:rPr>
          <w:rFonts w:ascii="Calibri" w:hAnsi="Calibri" w:cs="Calibri"/>
          <w:sz w:val="22"/>
          <w:szCs w:val="22"/>
        </w:rPr>
        <w:tab/>
        <w:t xml:space="preserve">  2.000.000</w:t>
      </w:r>
      <w:proofErr w:type="gramEnd"/>
      <w:r w:rsidRPr="00755088">
        <w:rPr>
          <w:rFonts w:ascii="Calibri" w:hAnsi="Calibri" w:cs="Calibri"/>
          <w:sz w:val="22"/>
          <w:szCs w:val="22"/>
        </w:rPr>
        <w:t>,00 Kč</w:t>
      </w:r>
    </w:p>
    <w:p w14:paraId="268ABFFA" w14:textId="75FE424A" w:rsidR="00755088" w:rsidRPr="00755088" w:rsidRDefault="00755088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755088">
        <w:rPr>
          <w:rFonts w:ascii="Calibri" w:hAnsi="Calibri" w:cs="Calibri"/>
          <w:b/>
          <w:bCs/>
          <w:sz w:val="22"/>
          <w:szCs w:val="22"/>
        </w:rPr>
        <w:t>CELKEM AKTIVA</w:t>
      </w:r>
      <w:r w:rsidRPr="00755088">
        <w:rPr>
          <w:rFonts w:ascii="Calibri" w:hAnsi="Calibri" w:cs="Calibri"/>
          <w:b/>
          <w:bCs/>
          <w:sz w:val="22"/>
          <w:szCs w:val="22"/>
        </w:rPr>
        <w:tab/>
      </w:r>
      <w:r w:rsidRPr="00755088">
        <w:rPr>
          <w:rFonts w:ascii="Calibri" w:hAnsi="Calibri" w:cs="Calibri"/>
          <w:b/>
          <w:bCs/>
          <w:sz w:val="22"/>
          <w:szCs w:val="22"/>
        </w:rPr>
        <w:tab/>
      </w:r>
      <w:r w:rsidRPr="00755088">
        <w:rPr>
          <w:rFonts w:ascii="Calibri" w:hAnsi="Calibri" w:cs="Calibri"/>
          <w:b/>
          <w:bCs/>
          <w:sz w:val="22"/>
          <w:szCs w:val="22"/>
        </w:rPr>
        <w:tab/>
      </w:r>
      <w:r w:rsidRPr="00755088">
        <w:rPr>
          <w:rFonts w:ascii="Calibri" w:hAnsi="Calibri" w:cs="Calibri"/>
          <w:b/>
          <w:bCs/>
          <w:sz w:val="22"/>
          <w:szCs w:val="22"/>
        </w:rPr>
        <w:tab/>
      </w:r>
      <w:r w:rsidRPr="00755088">
        <w:rPr>
          <w:rFonts w:ascii="Calibri" w:hAnsi="Calibri" w:cs="Calibri"/>
          <w:b/>
          <w:bCs/>
          <w:sz w:val="22"/>
          <w:szCs w:val="22"/>
        </w:rPr>
        <w:tab/>
        <w:t xml:space="preserve">                 </w:t>
      </w:r>
      <w:r w:rsidR="008E6CA8">
        <w:rPr>
          <w:rFonts w:ascii="Calibri" w:hAnsi="Calibri" w:cs="Calibri"/>
          <w:b/>
          <w:bCs/>
          <w:sz w:val="22"/>
          <w:szCs w:val="22"/>
        </w:rPr>
        <w:t>268.445.079,20</w:t>
      </w:r>
      <w:r w:rsidRPr="00755088">
        <w:rPr>
          <w:rFonts w:ascii="Calibri" w:hAnsi="Calibri" w:cs="Calibri"/>
          <w:b/>
          <w:bCs/>
          <w:sz w:val="22"/>
          <w:szCs w:val="22"/>
        </w:rPr>
        <w:t xml:space="preserve"> Kč</w:t>
      </w:r>
    </w:p>
    <w:p w14:paraId="04469D59" w14:textId="727F334A" w:rsidR="00755088" w:rsidRDefault="00755088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9DC6C88" w14:textId="6CE9A1CE" w:rsidR="007049D4" w:rsidRPr="00755088" w:rsidRDefault="007049D4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755088">
        <w:rPr>
          <w:rFonts w:ascii="Calibri" w:hAnsi="Calibri" w:cs="Calibri"/>
          <w:b/>
          <w:bCs/>
          <w:sz w:val="22"/>
          <w:szCs w:val="22"/>
        </w:rPr>
        <w:t>Pasiva</w:t>
      </w:r>
    </w:p>
    <w:p w14:paraId="5C1A8ADC" w14:textId="5B87147E" w:rsidR="007049D4" w:rsidRPr="001B6881" w:rsidRDefault="00755088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6881">
        <w:rPr>
          <w:rFonts w:ascii="Calibri" w:hAnsi="Calibri" w:cs="Calibri"/>
          <w:color w:val="000000"/>
          <w:sz w:val="22"/>
          <w:szCs w:val="22"/>
        </w:rPr>
        <w:t xml:space="preserve">Základní kapitál </w:t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  <w:t xml:space="preserve">                   2.000.000,00 Kč</w:t>
      </w:r>
    </w:p>
    <w:p w14:paraId="2EB8B647" w14:textId="5A32958E" w:rsidR="00755088" w:rsidRDefault="00755088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6881">
        <w:rPr>
          <w:rFonts w:ascii="Calibri" w:hAnsi="Calibri" w:cs="Calibri"/>
          <w:color w:val="000000"/>
          <w:sz w:val="22"/>
          <w:szCs w:val="22"/>
        </w:rPr>
        <w:t>Neuhrazené ztráty minulých let</w:t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="001B6881" w:rsidRPr="001B688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1B6881">
        <w:rPr>
          <w:rFonts w:ascii="Calibri" w:hAnsi="Calibri" w:cs="Calibri"/>
          <w:color w:val="000000"/>
          <w:sz w:val="22"/>
          <w:szCs w:val="22"/>
        </w:rPr>
        <w:t>-</w:t>
      </w:r>
      <w:r w:rsidR="001B6881" w:rsidRPr="001B6881">
        <w:rPr>
          <w:rFonts w:ascii="Calibri" w:hAnsi="Calibri" w:cs="Calibri"/>
          <w:color w:val="000000"/>
          <w:sz w:val="22"/>
          <w:szCs w:val="22"/>
        </w:rPr>
        <w:t>685.487,36 Kč</w:t>
      </w:r>
    </w:p>
    <w:p w14:paraId="04051C38" w14:textId="41F2F12F" w:rsidR="001B6881" w:rsidRPr="001B6881" w:rsidRDefault="001B6881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HV za běžné období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-7.057.985,36 Kč</w:t>
      </w:r>
    </w:p>
    <w:p w14:paraId="4952B556" w14:textId="3A0DF503" w:rsidR="001B6881" w:rsidRPr="001B6881" w:rsidRDefault="001B6881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6881">
        <w:rPr>
          <w:rFonts w:ascii="Calibri" w:hAnsi="Calibri" w:cs="Calibri"/>
          <w:color w:val="000000"/>
          <w:sz w:val="22"/>
          <w:szCs w:val="22"/>
        </w:rPr>
        <w:t>Dlouhodobé dluhy</w:t>
      </w:r>
      <w:r>
        <w:rPr>
          <w:rFonts w:ascii="Calibri" w:hAnsi="Calibri" w:cs="Calibri"/>
          <w:color w:val="000000"/>
          <w:sz w:val="22"/>
          <w:szCs w:val="22"/>
        </w:rPr>
        <w:t xml:space="preserve"> ovládána osoba</w:t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  <w:t xml:space="preserve">               258.369.750,00 Kč</w:t>
      </w:r>
    </w:p>
    <w:p w14:paraId="10382F7B" w14:textId="5C657C0D" w:rsidR="001B6881" w:rsidRPr="001B6881" w:rsidRDefault="001B6881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6881">
        <w:rPr>
          <w:rFonts w:ascii="Calibri" w:hAnsi="Calibri" w:cs="Calibri"/>
          <w:color w:val="000000"/>
          <w:sz w:val="22"/>
          <w:szCs w:val="22"/>
        </w:rPr>
        <w:t>Dluhy k akcionářům</w:t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  <w:t xml:space="preserve">              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</w:t>
      </w:r>
      <w:r w:rsidRPr="001B6881">
        <w:rPr>
          <w:rFonts w:ascii="Calibri" w:hAnsi="Calibri" w:cs="Calibri"/>
          <w:color w:val="000000"/>
          <w:sz w:val="22"/>
          <w:szCs w:val="22"/>
        </w:rPr>
        <w:t>14.566.301,90 Kč</w:t>
      </w:r>
    </w:p>
    <w:p w14:paraId="1D5EC030" w14:textId="313A3B4E" w:rsidR="001B6881" w:rsidRDefault="001B6881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6881">
        <w:rPr>
          <w:rFonts w:ascii="Calibri" w:hAnsi="Calibri" w:cs="Calibri"/>
          <w:color w:val="000000"/>
          <w:sz w:val="22"/>
          <w:szCs w:val="22"/>
        </w:rPr>
        <w:t>Dluh</w:t>
      </w:r>
      <w:r w:rsidR="00FB1D8D">
        <w:rPr>
          <w:rFonts w:ascii="Calibri" w:hAnsi="Calibri" w:cs="Calibri"/>
          <w:color w:val="000000"/>
          <w:sz w:val="22"/>
          <w:szCs w:val="22"/>
        </w:rPr>
        <w:t>y</w:t>
      </w:r>
      <w:r w:rsidRPr="001B6881">
        <w:rPr>
          <w:rFonts w:ascii="Calibri" w:hAnsi="Calibri" w:cs="Calibri"/>
          <w:color w:val="000000"/>
          <w:sz w:val="22"/>
          <w:szCs w:val="22"/>
        </w:rPr>
        <w:t xml:space="preserve"> z obchodních vztahů</w:t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</w:r>
      <w:r w:rsidRPr="001B6881">
        <w:rPr>
          <w:rFonts w:ascii="Calibri" w:hAnsi="Calibri" w:cs="Calibri"/>
          <w:color w:val="000000"/>
          <w:sz w:val="22"/>
          <w:szCs w:val="22"/>
        </w:rPr>
        <w:tab/>
        <w:t xml:space="preserve">                   1.252.500,00 Kč</w:t>
      </w:r>
    </w:p>
    <w:p w14:paraId="5DCA8E21" w14:textId="5079A614" w:rsidR="001B6881" w:rsidRPr="001B6881" w:rsidRDefault="001B6881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CELKEM PASIVA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E6CA8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</w:t>
      </w:r>
      <w:r w:rsidR="008E6CA8">
        <w:rPr>
          <w:rFonts w:ascii="Calibri" w:hAnsi="Calibri" w:cs="Calibri"/>
          <w:b/>
          <w:bCs/>
          <w:sz w:val="22"/>
          <w:szCs w:val="22"/>
        </w:rPr>
        <w:t>268.445.079,20</w:t>
      </w:r>
      <w:r w:rsidR="008E6CA8" w:rsidRPr="00755088">
        <w:rPr>
          <w:rFonts w:ascii="Calibri" w:hAnsi="Calibri" w:cs="Calibri"/>
          <w:b/>
          <w:bCs/>
          <w:sz w:val="22"/>
          <w:szCs w:val="22"/>
        </w:rPr>
        <w:t xml:space="preserve"> Kč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4128805D" w14:textId="77777777" w:rsidR="00FB1D8D" w:rsidRDefault="00FB1D8D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F8F9880" w14:textId="29396D4E" w:rsidR="002B6AB3" w:rsidRPr="002B6AB3" w:rsidRDefault="002B6AB3" w:rsidP="002B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Představenstvo Nástupnické společnosti 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>si není vědom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 xml:space="preserve"> skutečností, pro které by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>ástupnická společnost neměl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 xml:space="preserve"> být po nabytí účinnosti přeshraniční přeměny schopn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 xml:space="preserve"> dostát svým dluh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ům 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>nebo dluhům, které na 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í</w:t>
      </w:r>
      <w:r w:rsidRPr="002B6AB3">
        <w:rPr>
          <w:rFonts w:ascii="Calibri" w:hAnsi="Calibri" w:cs="Calibri"/>
          <w:b/>
          <w:bCs/>
          <w:color w:val="000000"/>
          <w:sz w:val="22"/>
          <w:szCs w:val="22"/>
        </w:rPr>
        <w:t xml:space="preserve"> podle projektu přeshraniční přeměny přešly, v době jejich splatnosti.</w:t>
      </w:r>
    </w:p>
    <w:p w14:paraId="30DA1E88" w14:textId="77777777" w:rsidR="002B6AB3" w:rsidRDefault="002B6AB3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89A78C" w14:textId="28E3D40E" w:rsidR="00354571" w:rsidRPr="00C23CF0" w:rsidRDefault="00327860" w:rsidP="0035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Představenstvo společnosti </w:t>
      </w:r>
      <w:r w:rsidR="00354571" w:rsidRPr="00C23CF0">
        <w:rPr>
          <w:rFonts w:ascii="Calibri" w:hAnsi="Calibri" w:cs="Calibri"/>
          <w:b/>
          <w:sz w:val="22"/>
          <w:szCs w:val="22"/>
          <w:shd w:val="clear" w:color="auto" w:fill="FFFFFF"/>
        </w:rPr>
        <w:t>Alpine Capital Investment a.s.</w:t>
      </w:r>
    </w:p>
    <w:p w14:paraId="4C0EC885" w14:textId="77777777" w:rsidR="00354571" w:rsidRPr="00C23CF0" w:rsidRDefault="00354571">
      <w:pPr>
        <w:rPr>
          <w:rFonts w:ascii="Calibri" w:hAnsi="Calibri" w:cs="Calibri"/>
          <w:sz w:val="22"/>
          <w:szCs w:val="22"/>
        </w:rPr>
      </w:pPr>
    </w:p>
    <w:sectPr w:rsidR="00354571" w:rsidRPr="00C2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74AFC"/>
    <w:multiLevelType w:val="multilevel"/>
    <w:tmpl w:val="DA58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455EE"/>
    <w:multiLevelType w:val="multilevel"/>
    <w:tmpl w:val="8AD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80009">
    <w:abstractNumId w:val="0"/>
  </w:num>
  <w:num w:numId="2" w16cid:durableId="24584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71"/>
    <w:rsid w:val="000F549C"/>
    <w:rsid w:val="001B6881"/>
    <w:rsid w:val="002B6AB3"/>
    <w:rsid w:val="00327860"/>
    <w:rsid w:val="00332736"/>
    <w:rsid w:val="00354571"/>
    <w:rsid w:val="0040184E"/>
    <w:rsid w:val="006642C6"/>
    <w:rsid w:val="006B2883"/>
    <w:rsid w:val="007049D4"/>
    <w:rsid w:val="00755088"/>
    <w:rsid w:val="00821CA5"/>
    <w:rsid w:val="0086431C"/>
    <w:rsid w:val="008E6CA8"/>
    <w:rsid w:val="00C23CF0"/>
    <w:rsid w:val="00DD3F6D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340"/>
  <w15:chartTrackingRefBased/>
  <w15:docId w15:val="{1B857BCF-4107-40D5-86D1-846A3BFF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571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4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5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5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5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5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5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5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4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4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45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45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45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4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45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4571"/>
    <w:rPr>
      <w:b/>
      <w:bCs/>
      <w:smallCaps/>
      <w:color w:val="0F4761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unhideWhenUsed/>
    <w:rsid w:val="00354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54571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35457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5457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B6AB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xt.codexis.cz/legislativa/CR16191_2024_07_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Rotta</dc:creator>
  <cp:keywords/>
  <dc:description/>
  <cp:lastModifiedBy>Jan Rotta</cp:lastModifiedBy>
  <cp:revision>3</cp:revision>
  <dcterms:created xsi:type="dcterms:W3CDTF">2024-10-09T09:16:00Z</dcterms:created>
  <dcterms:modified xsi:type="dcterms:W3CDTF">2024-10-09T09:17:00Z</dcterms:modified>
</cp:coreProperties>
</file>